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1F97D029" w:rsidR="00BD068E" w:rsidRDefault="0069326F" w:rsidP="00496A20">
      <w:pPr>
        <w:jc w:val="center"/>
      </w:pPr>
      <w:r>
        <w:t>Заявка</w:t>
      </w:r>
    </w:p>
    <w:p w14:paraId="1E197DF4" w14:textId="77777777" w:rsidR="0069326F" w:rsidRPr="00173594" w:rsidRDefault="0069326F" w:rsidP="00496A20">
      <w:pPr>
        <w:jc w:val="center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2240"/>
        <w:gridCol w:w="1416"/>
        <w:gridCol w:w="2557"/>
      </w:tblGrid>
      <w:tr w:rsidR="009168A9" w:rsidRPr="009168A9" w14:paraId="447C86F8" w14:textId="77777777" w:rsidTr="00531911">
        <w:tc>
          <w:tcPr>
            <w:tcW w:w="3126" w:type="dxa"/>
          </w:tcPr>
          <w:p w14:paraId="7852A0D9" w14:textId="445C281D" w:rsidR="007B6CBA" w:rsidRPr="009168A9" w:rsidRDefault="007D5A5D" w:rsidP="007358E3">
            <w:r w:rsidRPr="009168A9">
              <w:t xml:space="preserve">Название </w:t>
            </w:r>
          </w:p>
          <w:p w14:paraId="41FFFEA1" w14:textId="11ACABDF" w:rsidR="007D5A5D" w:rsidRPr="009168A9" w:rsidRDefault="007D5A5D" w:rsidP="007358E3"/>
        </w:tc>
        <w:tc>
          <w:tcPr>
            <w:tcW w:w="6213" w:type="dxa"/>
            <w:gridSpan w:val="3"/>
          </w:tcPr>
          <w:p w14:paraId="14D82E7F" w14:textId="7574FCA9" w:rsidR="007D5A5D" w:rsidRPr="00CF0AF2" w:rsidRDefault="00CF0AF2" w:rsidP="009168A9">
            <w:pPr>
              <w:jc w:val="both"/>
            </w:pPr>
            <w:r w:rsidRPr="00CF0AF2">
              <w:rPr>
                <w:rFonts w:eastAsia="Times New Roman"/>
                <w:bCs/>
              </w:rPr>
              <w:t xml:space="preserve">Школьная секция </w:t>
            </w:r>
            <w:r w:rsidRPr="00CF0AF2">
              <w:rPr>
                <w:rFonts w:eastAsia="Times New Roman"/>
                <w:bCs/>
                <w:lang w:val="en-US"/>
              </w:rPr>
              <w:t>X</w:t>
            </w:r>
            <w:r w:rsidRPr="00CF0AF2">
              <w:rPr>
                <w:rFonts w:eastAsia="Times New Roman"/>
                <w:bCs/>
              </w:rPr>
              <w:t xml:space="preserve"> </w:t>
            </w:r>
            <w:r w:rsidRPr="00CF0AF2">
              <w:t>молодежная конференция по управлению проектами (по согласованию с АО АСЭ)</w:t>
            </w:r>
          </w:p>
        </w:tc>
      </w:tr>
      <w:tr w:rsidR="00CF0AF2" w:rsidRPr="009168A9" w14:paraId="1DF67055" w14:textId="77777777" w:rsidTr="00C95C0B">
        <w:tc>
          <w:tcPr>
            <w:tcW w:w="3126" w:type="dxa"/>
          </w:tcPr>
          <w:p w14:paraId="7FDF2DDF" w14:textId="23D44109" w:rsidR="00CF0AF2" w:rsidRPr="009168A9" w:rsidRDefault="00CF0AF2" w:rsidP="007358E3">
            <w:r w:rsidRPr="009168A9">
              <w:t>Сроки проведения мероприятия (весенний и осенний периоды)</w:t>
            </w:r>
          </w:p>
        </w:tc>
        <w:tc>
          <w:tcPr>
            <w:tcW w:w="6213" w:type="dxa"/>
            <w:gridSpan w:val="3"/>
            <w:vAlign w:val="center"/>
          </w:tcPr>
          <w:p w14:paraId="2FEFCF74" w14:textId="6AEFDEDF" w:rsidR="00CF0AF2" w:rsidRPr="00C95C0B" w:rsidRDefault="00CF0AF2" w:rsidP="00C95C0B">
            <w:pPr>
              <w:jc w:val="center"/>
            </w:pPr>
            <w:r w:rsidRPr="00C95C0B">
              <w:t>Октябрь-ноябрь 2025 года</w:t>
            </w:r>
          </w:p>
        </w:tc>
      </w:tr>
      <w:tr w:rsidR="009168A9" w:rsidRPr="009168A9" w14:paraId="6AF02226" w14:textId="77777777" w:rsidTr="00531911">
        <w:tc>
          <w:tcPr>
            <w:tcW w:w="3126" w:type="dxa"/>
          </w:tcPr>
          <w:p w14:paraId="12402288" w14:textId="4B80455D" w:rsidR="00BD068E" w:rsidRPr="009168A9" w:rsidRDefault="00FD07EC" w:rsidP="007358E3">
            <w:r w:rsidRPr="009168A9">
              <w:t>По чьей инициативе проводится это</w:t>
            </w:r>
            <w:r w:rsidR="00BD068E" w:rsidRPr="009168A9">
              <w:t xml:space="preserve"> мероприятие</w:t>
            </w:r>
            <w:r w:rsidRPr="009168A9">
              <w:t xml:space="preserve"> для учащихся школ-участниц Сети </w:t>
            </w:r>
            <w:r w:rsidR="00C5711A" w:rsidRPr="009168A9">
              <w:t>а</w:t>
            </w:r>
            <w:r w:rsidRPr="009168A9">
              <w:t>томклассов проекта «Школа Росатома»</w:t>
            </w:r>
            <w:r w:rsidR="00BD068E" w:rsidRPr="009168A9">
              <w:t>?</w:t>
            </w:r>
          </w:p>
        </w:tc>
        <w:tc>
          <w:tcPr>
            <w:tcW w:w="6213" w:type="dxa"/>
            <w:gridSpan w:val="3"/>
          </w:tcPr>
          <w:p w14:paraId="417970FB" w14:textId="361E8FF8" w:rsidR="00BD068E" w:rsidRPr="009168A9" w:rsidRDefault="00CF0AF2" w:rsidP="00CF0AF2">
            <w:pPr>
              <w:jc w:val="both"/>
            </w:pPr>
            <w:r w:rsidRPr="00CF0AF2">
              <w:rPr>
                <w:rFonts w:eastAsia="Times New Roman"/>
                <w:bCs/>
              </w:rPr>
              <w:t xml:space="preserve">Школьная секция </w:t>
            </w:r>
            <w:r w:rsidRPr="00CF0AF2">
              <w:rPr>
                <w:rFonts w:eastAsia="Times New Roman"/>
                <w:bCs/>
                <w:lang w:val="en-US"/>
              </w:rPr>
              <w:t>X</w:t>
            </w:r>
            <w:r w:rsidRPr="00CF0AF2">
              <w:rPr>
                <w:rFonts w:eastAsia="Times New Roman"/>
                <w:bCs/>
              </w:rPr>
              <w:t xml:space="preserve"> </w:t>
            </w:r>
            <w:r w:rsidRPr="00CF0AF2">
              <w:t>молодежная конференция по управлению проектами</w:t>
            </w:r>
            <w:r w:rsidR="006F36FD" w:rsidRPr="009168A9">
              <w:t xml:space="preserve"> </w:t>
            </w:r>
            <w:r w:rsidR="006F36FD" w:rsidRPr="009168A9">
              <w:rPr>
                <w:bCs/>
              </w:rPr>
              <w:t xml:space="preserve">пройдет по инициативе </w:t>
            </w:r>
            <w:r>
              <w:rPr>
                <w:bCs/>
              </w:rPr>
              <w:t xml:space="preserve">АО АСЭ </w:t>
            </w:r>
            <w:r w:rsidR="006F36FD" w:rsidRPr="009168A9">
              <w:rPr>
                <w:rFonts w:eastAsia="Times New Roman"/>
                <w:bCs/>
              </w:rPr>
              <w:t xml:space="preserve">совместно с </w:t>
            </w:r>
            <w:r w:rsidRPr="009168A9">
              <w:rPr>
                <w:rFonts w:eastAsia="Times New Roman"/>
                <w:bCs/>
              </w:rPr>
              <w:t>МБОУ «Лицей № 40» города Нижнего Новгорода</w:t>
            </w:r>
            <w:r w:rsidR="006F36FD" w:rsidRPr="009168A9">
              <w:rPr>
                <w:rFonts w:eastAsia="Times New Roman"/>
                <w:bCs/>
              </w:rPr>
              <w:t>.</w:t>
            </w:r>
          </w:p>
        </w:tc>
      </w:tr>
      <w:tr w:rsidR="00CF0AF2" w:rsidRPr="009168A9" w14:paraId="54485459" w14:textId="59D8D1E8" w:rsidTr="00FA220F">
        <w:tc>
          <w:tcPr>
            <w:tcW w:w="3126" w:type="dxa"/>
          </w:tcPr>
          <w:p w14:paraId="0258B9B8" w14:textId="5606DFD0" w:rsidR="00CF0AF2" w:rsidRPr="009168A9" w:rsidRDefault="00CF0AF2" w:rsidP="007358E3">
            <w:r w:rsidRPr="009168A9">
              <w:t>Возраст/класс, количество учащихся</w:t>
            </w:r>
          </w:p>
        </w:tc>
        <w:tc>
          <w:tcPr>
            <w:tcW w:w="6213" w:type="dxa"/>
            <w:gridSpan w:val="3"/>
          </w:tcPr>
          <w:p w14:paraId="6DF99828" w14:textId="1EA0A44E" w:rsidR="00CF0AF2" w:rsidRPr="009168A9" w:rsidRDefault="00CF0AF2" w:rsidP="00CF0AF2">
            <w:pPr>
              <w:jc w:val="both"/>
            </w:pPr>
            <w:r w:rsidRPr="009168A9">
              <w:t xml:space="preserve">Для участия </w:t>
            </w:r>
            <w:r w:rsidRPr="009168A9">
              <w:rPr>
                <w:rFonts w:eastAsia="Times New Roman"/>
              </w:rPr>
              <w:t xml:space="preserve">приглашаются все желающие </w:t>
            </w:r>
            <w:r>
              <w:rPr>
                <w:rFonts w:eastAsia="Times New Roman"/>
              </w:rPr>
              <w:t>9</w:t>
            </w:r>
            <w:r w:rsidRPr="009168A9">
              <w:rPr>
                <w:rFonts w:eastAsia="Times New Roman"/>
              </w:rPr>
              <w:t xml:space="preserve">-11 классов </w:t>
            </w:r>
            <w:r w:rsidRPr="009168A9">
              <w:t>школ-участниц Сети атомклассов проекта «Школа Росатома».</w:t>
            </w:r>
          </w:p>
        </w:tc>
      </w:tr>
      <w:tr w:rsidR="009168A9" w:rsidRPr="009168A9" w14:paraId="26EF3169" w14:textId="77777777" w:rsidTr="00531911">
        <w:tc>
          <w:tcPr>
            <w:tcW w:w="3126" w:type="dxa"/>
          </w:tcPr>
          <w:p w14:paraId="195B0B43" w14:textId="6E3B03E4" w:rsidR="00BD068E" w:rsidRPr="009168A9" w:rsidRDefault="0019570A" w:rsidP="007358E3">
            <w:r w:rsidRPr="009168A9">
              <w:t>Предметная область</w:t>
            </w:r>
          </w:p>
        </w:tc>
        <w:tc>
          <w:tcPr>
            <w:tcW w:w="6213" w:type="dxa"/>
            <w:gridSpan w:val="3"/>
          </w:tcPr>
          <w:p w14:paraId="54CBBBC4" w14:textId="4A93BDC3" w:rsidR="007B6CBA" w:rsidRPr="009168A9" w:rsidRDefault="00CF0AF2" w:rsidP="007358E3">
            <w:r>
              <w:t>метапредметная</w:t>
            </w:r>
          </w:p>
        </w:tc>
      </w:tr>
      <w:tr w:rsidR="009168A9" w:rsidRPr="009168A9" w14:paraId="3AFEF6C9" w14:textId="77777777" w:rsidTr="00531911">
        <w:tc>
          <w:tcPr>
            <w:tcW w:w="3126" w:type="dxa"/>
          </w:tcPr>
          <w:p w14:paraId="224A07E3" w14:textId="32B3610A" w:rsidR="0019570A" w:rsidRPr="009168A9" w:rsidRDefault="0019570A" w:rsidP="007358E3">
            <w:r w:rsidRPr="009168A9">
              <w:t xml:space="preserve">Планируемые результаты </w:t>
            </w:r>
          </w:p>
        </w:tc>
        <w:tc>
          <w:tcPr>
            <w:tcW w:w="6213" w:type="dxa"/>
            <w:gridSpan w:val="3"/>
          </w:tcPr>
          <w:p w14:paraId="666F8111" w14:textId="5B25DA92" w:rsidR="0019570A" w:rsidRPr="009168A9" w:rsidRDefault="0019570A" w:rsidP="007358E3">
            <w:pPr>
              <w:shd w:val="clear" w:color="auto" w:fill="FFFFFF"/>
              <w:contextualSpacing/>
              <w:jc w:val="both"/>
            </w:pPr>
            <w:r w:rsidRPr="009168A9">
              <w:rPr>
                <w:i/>
              </w:rPr>
              <w:t>Предметные:</w:t>
            </w:r>
            <w:r w:rsidR="00915178">
              <w:rPr>
                <w:i/>
              </w:rPr>
              <w:t xml:space="preserve"> </w:t>
            </w:r>
            <w:r w:rsidR="00915178" w:rsidRPr="00915178">
              <w:t>способствовать формированию</w:t>
            </w:r>
            <w:r w:rsidR="00915178">
              <w:rPr>
                <w:i/>
              </w:rPr>
              <w:t xml:space="preserve"> </w:t>
            </w:r>
            <w:r w:rsidR="00915178" w:rsidRPr="00915178">
              <w:rPr>
                <w:rFonts w:eastAsia="Times New Roman" w:cs="Calibri"/>
              </w:rPr>
              <w:t>умени</w:t>
            </w:r>
            <w:r w:rsidR="00915178">
              <w:rPr>
                <w:rFonts w:eastAsia="Times New Roman" w:cs="Calibri"/>
              </w:rPr>
              <w:t xml:space="preserve">й в </w:t>
            </w:r>
            <w:r w:rsidR="00915178" w:rsidRPr="00915178">
              <w:rPr>
                <w:rFonts w:eastAsia="Times New Roman" w:cs="Calibri"/>
              </w:rPr>
              <w:t>области</w:t>
            </w:r>
            <w:r w:rsidR="00915178">
              <w:rPr>
                <w:rFonts w:eastAsia="Times New Roman" w:cs="Calibri"/>
              </w:rPr>
              <w:t xml:space="preserve"> проектной деятельности</w:t>
            </w:r>
            <w:r w:rsidR="00915178" w:rsidRPr="00915178">
              <w:rPr>
                <w:rFonts w:eastAsia="Times New Roman" w:cs="Calibri"/>
              </w:rPr>
              <w:t xml:space="preserve">, </w:t>
            </w:r>
            <w:r w:rsidR="00915178">
              <w:rPr>
                <w:rFonts w:eastAsia="Times New Roman" w:cs="Calibri"/>
              </w:rPr>
              <w:t>навыков осмысленной деятельности</w:t>
            </w:r>
            <w:r w:rsidR="00915178" w:rsidRPr="00915178">
              <w:rPr>
                <w:rFonts w:eastAsia="Times New Roman" w:cs="Calibri"/>
              </w:rPr>
              <w:t xml:space="preserve"> по получению нового знания в рамках учебного предмета</w:t>
            </w:r>
            <w:r w:rsidR="00915178">
              <w:rPr>
                <w:rFonts w:eastAsia="Times New Roman" w:cs="Calibri"/>
              </w:rPr>
              <w:t xml:space="preserve"> «Индивидуальный проект»</w:t>
            </w:r>
            <w:r w:rsidR="00915178" w:rsidRPr="00915178">
              <w:rPr>
                <w:rFonts w:eastAsia="Times New Roman" w:cs="Calibri"/>
              </w:rPr>
              <w:t>, его преобразованию и применению в учебных, учебно-проектных и социально-проектных ситуациях;</w:t>
            </w:r>
            <w:r w:rsidR="00915178">
              <w:rPr>
                <w:i/>
              </w:rPr>
              <w:t xml:space="preserve"> навыков </w:t>
            </w:r>
            <w:r w:rsidR="00915178" w:rsidRPr="00915178">
              <w:rPr>
                <w:rFonts w:eastAsia="Times New Roman" w:cs="Calibri"/>
              </w:rPr>
              <w:t>владени</w:t>
            </w:r>
            <w:r w:rsidR="00915178">
              <w:rPr>
                <w:rFonts w:eastAsia="Times New Roman" w:cs="Calibri"/>
              </w:rPr>
              <w:t>я</w:t>
            </w:r>
            <w:r w:rsidR="00915178" w:rsidRPr="00915178">
              <w:rPr>
                <w:rFonts w:eastAsia="Times New Roman" w:cs="Calibri"/>
              </w:rPr>
              <w:t xml:space="preserve"> научной терминологией, ключевыми понятиями, методами и приемами</w:t>
            </w:r>
            <w:r w:rsidR="00915178">
              <w:rPr>
                <w:rFonts w:eastAsia="Times New Roman" w:cs="Calibri"/>
              </w:rPr>
              <w:t xml:space="preserve">; </w:t>
            </w:r>
            <w:r w:rsidR="007358E3" w:rsidRPr="009168A9">
              <w:t xml:space="preserve">способствовать </w:t>
            </w:r>
            <w:r w:rsidR="007358E3" w:rsidRPr="009168A9">
              <w:rPr>
                <w:rFonts w:eastAsia="Times New Roman"/>
              </w:rPr>
              <w:t xml:space="preserve">пониманию возрастающей роли науки, усилению взаимосвязи и взаимного влияния науки и техники, осознанию взаимодействия человека с окружающей средой; </w:t>
            </w:r>
            <w:r w:rsidR="007358E3" w:rsidRPr="009168A9">
              <w:t xml:space="preserve">способствовать </w:t>
            </w:r>
            <w:r w:rsidR="007358E3" w:rsidRPr="009168A9">
              <w:rPr>
                <w:rFonts w:eastAsia="Times New Roman"/>
              </w:rPr>
              <w:t xml:space="preserve">развитию познавательных интересов в процессе самостоятельного приобретения знаний с использованием различных источников информации, в том числе цифровых; воспитывать убежденность в позитивной роли </w:t>
            </w:r>
            <w:r w:rsidR="00915178">
              <w:rPr>
                <w:rFonts w:eastAsia="Times New Roman"/>
              </w:rPr>
              <w:t>науки</w:t>
            </w:r>
            <w:r w:rsidR="007358E3" w:rsidRPr="009168A9">
              <w:rPr>
                <w:rFonts w:eastAsia="Times New Roman"/>
              </w:rPr>
              <w:t xml:space="preserve"> в жизни современного общества;</w:t>
            </w:r>
          </w:p>
          <w:p w14:paraId="12C71DB7" w14:textId="68480DFF" w:rsidR="00915178" w:rsidRPr="009168A9" w:rsidRDefault="0019570A" w:rsidP="00C61F7E">
            <w:pPr>
              <w:shd w:val="clear" w:color="auto" w:fill="FFFFFF"/>
              <w:contextualSpacing/>
              <w:jc w:val="both"/>
              <w:rPr>
                <w:rFonts w:eastAsia="Times New Roman"/>
              </w:rPr>
            </w:pPr>
            <w:r w:rsidRPr="009168A9">
              <w:rPr>
                <w:i/>
              </w:rPr>
              <w:t>Метапредметные:</w:t>
            </w:r>
            <w:r w:rsidR="007358E3" w:rsidRPr="009168A9">
              <w:t xml:space="preserve"> способствовать формированию </w:t>
            </w:r>
            <w:r w:rsidR="007358E3" w:rsidRPr="009168A9">
              <w:rPr>
                <w:rFonts w:eastAsia="Times New Roman"/>
              </w:rPr>
              <w:t xml:space="preserve">умения самостоятельно и мотивированно организовывать свою познавательную деятельность;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использовать элементы причинно-следственного анализа, определять сущностные характеристики изучаемого объекта, давать определения, приводить доказательства;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 использовать мультимедийные ресурсы и компьютерные технологии для обработки, передачи, презентации результатов познавательной и практической деятельности;</w:t>
            </w:r>
            <w:r w:rsidR="00915178">
              <w:rPr>
                <w:rFonts w:eastAsia="Times New Roman"/>
              </w:rPr>
              <w:t xml:space="preserve"> </w:t>
            </w:r>
            <w:r w:rsidR="00915178" w:rsidRPr="00D75E53">
              <w:rPr>
                <w:rFonts w:cs="Calibri"/>
              </w:rPr>
              <w:t>освоен</w:t>
            </w:r>
            <w:r w:rsidR="00915178">
              <w:rPr>
                <w:rFonts w:cs="Calibri"/>
              </w:rPr>
              <w:t>и</w:t>
            </w:r>
            <w:r w:rsidR="00915178" w:rsidRPr="00D75E53">
              <w:rPr>
                <w:rFonts w:cs="Calibri"/>
              </w:rPr>
              <w:t>е обучающимися межпредметны</w:t>
            </w:r>
            <w:r w:rsidR="00915178">
              <w:rPr>
                <w:rFonts w:cs="Calibri"/>
              </w:rPr>
              <w:t>х</w:t>
            </w:r>
            <w:r w:rsidR="00915178" w:rsidRPr="00D75E53">
              <w:rPr>
                <w:rFonts w:cs="Calibri"/>
              </w:rPr>
              <w:t xml:space="preserve"> поняти</w:t>
            </w:r>
            <w:r w:rsidR="00915178">
              <w:rPr>
                <w:rFonts w:cs="Calibri"/>
              </w:rPr>
              <w:t>й</w:t>
            </w:r>
            <w:r w:rsidR="00915178" w:rsidRPr="00D75E53">
              <w:rPr>
                <w:rFonts w:cs="Calibri"/>
              </w:rPr>
              <w:t xml:space="preserve"> и универсальны</w:t>
            </w:r>
            <w:r w:rsidR="00915178">
              <w:rPr>
                <w:rFonts w:cs="Calibri"/>
              </w:rPr>
              <w:t>х</w:t>
            </w:r>
            <w:r w:rsidR="00915178" w:rsidRPr="00D75E53">
              <w:rPr>
                <w:rFonts w:cs="Calibri"/>
              </w:rPr>
              <w:t xml:space="preserve"> учебны</w:t>
            </w:r>
            <w:r w:rsidR="00915178">
              <w:rPr>
                <w:rFonts w:cs="Calibri"/>
              </w:rPr>
              <w:t>х</w:t>
            </w:r>
            <w:r w:rsidR="00915178" w:rsidRPr="00D75E53">
              <w:rPr>
                <w:rFonts w:cs="Calibri"/>
              </w:rPr>
              <w:t xml:space="preserve"> действи</w:t>
            </w:r>
            <w:r w:rsidR="00915178">
              <w:rPr>
                <w:rFonts w:cs="Calibri"/>
              </w:rPr>
              <w:t>й</w:t>
            </w:r>
            <w:r w:rsidR="00915178" w:rsidRPr="00D75E53">
              <w:rPr>
                <w:rFonts w:cs="Calibri"/>
              </w:rPr>
              <w:t xml:space="preserve"> (регулятивные, познавательные, коммуникативные), </w:t>
            </w:r>
            <w:r w:rsidR="00915178">
              <w:rPr>
                <w:rFonts w:cs="Calibri"/>
              </w:rPr>
              <w:t xml:space="preserve">формирование </w:t>
            </w:r>
            <w:r w:rsidR="00915178" w:rsidRPr="00D75E53">
              <w:rPr>
                <w:rFonts w:cs="Calibri"/>
              </w:rPr>
              <w:t>способност</w:t>
            </w:r>
            <w:r w:rsidR="00915178">
              <w:rPr>
                <w:rFonts w:cs="Calibri"/>
              </w:rPr>
              <w:t>и</w:t>
            </w:r>
            <w:r w:rsidR="00915178" w:rsidRPr="00D75E53">
              <w:rPr>
                <w:rFonts w:cs="Calibri"/>
              </w:rPr>
              <w:t xml:space="preserve"> их использования в познавательной и социальной практике;</w:t>
            </w:r>
            <w:r w:rsidR="00915178">
              <w:rPr>
                <w:rFonts w:eastAsia="Times New Roman"/>
              </w:rPr>
              <w:t xml:space="preserve"> формирование навыков </w:t>
            </w:r>
            <w:r w:rsidR="00915178">
              <w:rPr>
                <w:rFonts w:cs="Calibri"/>
              </w:rPr>
              <w:t>саморегуляции</w:t>
            </w:r>
            <w:r w:rsidR="00915178" w:rsidRPr="00D75E53">
              <w:rPr>
                <w:rFonts w:cs="Calibri"/>
              </w:rPr>
              <w:t xml:space="preserve"> </w:t>
            </w:r>
            <w:r w:rsidR="00915178">
              <w:rPr>
                <w:rFonts w:cs="Calibri"/>
              </w:rPr>
              <w:t>при</w:t>
            </w:r>
            <w:r w:rsidR="00915178" w:rsidRPr="00D75E53">
              <w:rPr>
                <w:rFonts w:cs="Calibri"/>
              </w:rPr>
              <w:t xml:space="preserve"> планировании и осуществлении учебно</w:t>
            </w:r>
            <w:r w:rsidR="00915178">
              <w:rPr>
                <w:rFonts w:cs="Calibri"/>
              </w:rPr>
              <w:t>-проектной</w:t>
            </w:r>
            <w:r w:rsidR="00915178" w:rsidRPr="00D75E53">
              <w:rPr>
                <w:rFonts w:cs="Calibri"/>
              </w:rPr>
              <w:t xml:space="preserve"> деятельности и организации учебного сотрудничества с педагогами и сверстниками;</w:t>
            </w:r>
            <w:r w:rsidR="00C61F7E">
              <w:rPr>
                <w:rFonts w:cs="Calibri"/>
              </w:rPr>
              <w:t xml:space="preserve"> формирование </w:t>
            </w:r>
            <w:r w:rsidR="00915178" w:rsidRPr="00D75E53">
              <w:rPr>
                <w:rFonts w:cs="Calibri"/>
              </w:rPr>
              <w:t xml:space="preserve"> навык</w:t>
            </w:r>
            <w:r w:rsidR="00C61F7E">
              <w:rPr>
                <w:rFonts w:cs="Calibri"/>
              </w:rPr>
              <w:t>ов</w:t>
            </w:r>
            <w:r w:rsidR="00915178" w:rsidRPr="00D75E53">
              <w:rPr>
                <w:rFonts w:cs="Calibri"/>
              </w:rPr>
              <w:t xml:space="preserve"> учебно-</w:t>
            </w:r>
            <w:r w:rsidR="00915178" w:rsidRPr="00D75E53">
              <w:rPr>
                <w:rFonts w:cs="Calibri"/>
              </w:rPr>
              <w:lastRenderedPageBreak/>
              <w:t>исследовательской, прое</w:t>
            </w:r>
            <w:r w:rsidR="00C61F7E">
              <w:rPr>
                <w:rFonts w:cs="Calibri"/>
              </w:rPr>
              <w:t>ктной и социальной деятельности;</w:t>
            </w:r>
          </w:p>
          <w:p w14:paraId="0D1D602B" w14:textId="62D4A5FB" w:rsidR="00C61F7E" w:rsidRPr="009168A9" w:rsidRDefault="0019570A" w:rsidP="00C61F7E">
            <w:pPr>
              <w:jc w:val="both"/>
            </w:pPr>
            <w:r w:rsidRPr="009168A9">
              <w:rPr>
                <w:i/>
              </w:rPr>
              <w:t>Личностные:</w:t>
            </w:r>
            <w:r w:rsidR="007358E3" w:rsidRPr="009168A9">
              <w:rPr>
                <w:i/>
              </w:rPr>
              <w:t xml:space="preserve"> </w:t>
            </w:r>
            <w:r w:rsidR="007358E3" w:rsidRPr="009168A9">
              <w:t>способствовать формированию</w:t>
            </w:r>
            <w:r w:rsidR="007358E3" w:rsidRPr="009168A9">
              <w:rPr>
                <w:rFonts w:eastAsia="Times New Roman"/>
              </w:rPr>
              <w:t xml:space="preserve"> умения</w:t>
            </w:r>
            <w:r w:rsidR="00C61F7E">
              <w:rPr>
                <w:rFonts w:eastAsia="Times New Roman"/>
              </w:rPr>
              <w:t xml:space="preserve"> </w:t>
            </w:r>
            <w:r w:rsidR="007358E3" w:rsidRPr="009168A9">
              <w:rPr>
                <w:rFonts w:eastAsia="Times New Roman"/>
              </w:rPr>
              <w:t xml:space="preserve">оценивать и </w:t>
            </w:r>
            <w:r w:rsidR="00C61F7E">
              <w:rPr>
                <w:rFonts w:eastAsia="Times New Roman"/>
              </w:rPr>
              <w:t xml:space="preserve">корректировать своё поведение в </w:t>
            </w:r>
            <w:r w:rsidR="007358E3" w:rsidRPr="009168A9">
              <w:rPr>
                <w:rFonts w:eastAsia="Times New Roman"/>
              </w:rPr>
              <w:t xml:space="preserve">окружающей среде, </w:t>
            </w:r>
            <w:r w:rsidR="00C61F7E" w:rsidRPr="00D75E53">
              <w:t>готовност</w:t>
            </w:r>
            <w:r w:rsidR="00C61F7E">
              <w:t>и</w:t>
            </w:r>
            <w:r w:rsidR="00C61F7E" w:rsidRPr="00D75E53">
              <w:t xml:space="preserve"> и способност</w:t>
            </w:r>
            <w:r w:rsidR="00C61F7E">
              <w:t>и</w:t>
            </w:r>
            <w:r w:rsidR="00C61F7E" w:rsidRPr="00D75E53">
              <w:t xml:space="preserve"> обучающихся к саморазвитию и личностному самоопределению;</w:t>
            </w:r>
            <w:r w:rsidR="00C61F7E">
              <w:t xml:space="preserve"> </w:t>
            </w:r>
            <w:r w:rsidR="00C61F7E" w:rsidRPr="00D75E53">
              <w:t>сформированность их мотивации к обучению и целенаправленной познавательной деятельности</w:t>
            </w:r>
            <w:r w:rsidR="00C61F7E">
              <w:t>.</w:t>
            </w:r>
          </w:p>
        </w:tc>
      </w:tr>
      <w:tr w:rsidR="009168A9" w:rsidRPr="009168A9" w14:paraId="257CEA44" w14:textId="77777777" w:rsidTr="00531911">
        <w:tc>
          <w:tcPr>
            <w:tcW w:w="3126" w:type="dxa"/>
          </w:tcPr>
          <w:p w14:paraId="3CB8EC9D" w14:textId="069831C9" w:rsidR="009B54DC" w:rsidRPr="009168A9" w:rsidRDefault="009B54DC" w:rsidP="009B54DC">
            <w:r w:rsidRPr="009168A9">
              <w:lastRenderedPageBreak/>
              <w:t>Объем часов</w:t>
            </w:r>
          </w:p>
        </w:tc>
        <w:tc>
          <w:tcPr>
            <w:tcW w:w="6213" w:type="dxa"/>
            <w:gridSpan w:val="3"/>
          </w:tcPr>
          <w:p w14:paraId="37C18C5E" w14:textId="54425EE8" w:rsidR="009B54DC" w:rsidRPr="009168A9" w:rsidRDefault="009B54DC" w:rsidP="009B54DC">
            <w:pPr>
              <w:jc w:val="both"/>
            </w:pPr>
            <w:r w:rsidRPr="009168A9">
              <w:t xml:space="preserve">Совместно с педагогом в сети Интернет: </w:t>
            </w:r>
            <w:r w:rsidR="00C61F7E">
              <w:t>2</w:t>
            </w:r>
            <w:r w:rsidRPr="009168A9">
              <w:t xml:space="preserve"> час</w:t>
            </w:r>
            <w:r w:rsidR="00C61F7E">
              <w:t>а</w:t>
            </w:r>
            <w:r w:rsidRPr="009168A9">
              <w:t xml:space="preserve"> (</w:t>
            </w:r>
            <w:r w:rsidR="00C61F7E">
              <w:t>постановка задачи, вводный вебинар</w:t>
            </w:r>
            <w:r w:rsidRPr="009168A9">
              <w:t>);</w:t>
            </w:r>
          </w:p>
          <w:p w14:paraId="144B19F0" w14:textId="0D4703A2" w:rsidR="009B54DC" w:rsidRPr="009168A9" w:rsidRDefault="009B54DC" w:rsidP="009B54DC">
            <w:pPr>
              <w:jc w:val="both"/>
            </w:pPr>
            <w:r w:rsidRPr="009168A9">
              <w:t>Совместно со сверстниками в сети Интернет</w:t>
            </w:r>
            <w:r w:rsidR="002354FF">
              <w:t xml:space="preserve"> или очно</w:t>
            </w:r>
            <w:r w:rsidRPr="009168A9">
              <w:t xml:space="preserve">: </w:t>
            </w:r>
            <w:r w:rsidR="00C61F7E">
              <w:t>6</w:t>
            </w:r>
            <w:r w:rsidRPr="009168A9">
              <w:t xml:space="preserve"> час</w:t>
            </w:r>
            <w:r w:rsidR="00C61F7E">
              <w:t>ов</w:t>
            </w:r>
            <w:r w:rsidRPr="009168A9">
              <w:t xml:space="preserve"> (</w:t>
            </w:r>
            <w:r w:rsidR="002354FF">
              <w:t>конференция</w:t>
            </w:r>
            <w:r w:rsidRPr="009168A9">
              <w:t>);</w:t>
            </w:r>
          </w:p>
          <w:p w14:paraId="1D5A1FA6" w14:textId="476FDE4D" w:rsidR="009B54DC" w:rsidRPr="009168A9" w:rsidRDefault="009B54DC" w:rsidP="002354FF">
            <w:pPr>
              <w:jc w:val="both"/>
            </w:pPr>
            <w:r w:rsidRPr="009168A9">
              <w:t xml:space="preserve">Самостоятельно: не менее </w:t>
            </w:r>
            <w:r w:rsidR="002354FF">
              <w:t>2</w:t>
            </w:r>
            <w:r w:rsidRPr="009168A9">
              <w:t xml:space="preserve"> часов (</w:t>
            </w:r>
            <w:r w:rsidR="002354FF">
              <w:t>подготовка тезисов/проекта</w:t>
            </w:r>
            <w:r w:rsidRPr="009168A9">
              <w:t>).</w:t>
            </w:r>
          </w:p>
        </w:tc>
      </w:tr>
      <w:tr w:rsidR="009168A9" w:rsidRPr="009168A9" w14:paraId="748FB4B3" w14:textId="77777777" w:rsidTr="00531911">
        <w:tc>
          <w:tcPr>
            <w:tcW w:w="3126" w:type="dxa"/>
          </w:tcPr>
          <w:p w14:paraId="6E1995CD" w14:textId="0A11351F" w:rsidR="009B54DC" w:rsidRPr="009168A9" w:rsidRDefault="009B54DC" w:rsidP="009B54DC">
            <w:r w:rsidRPr="009168A9">
              <w:t>Виды деятельности</w:t>
            </w:r>
          </w:p>
        </w:tc>
        <w:tc>
          <w:tcPr>
            <w:tcW w:w="6213" w:type="dxa"/>
            <w:gridSpan w:val="3"/>
          </w:tcPr>
          <w:p w14:paraId="6694C67E" w14:textId="4E587022" w:rsidR="009B54DC" w:rsidRPr="009168A9" w:rsidRDefault="00531911" w:rsidP="00531911">
            <w:r>
              <w:t>К</w:t>
            </w:r>
            <w:r w:rsidR="009B54DC" w:rsidRPr="009168A9">
              <w:t>онструкторская, исследовательская, коммуникативная</w:t>
            </w:r>
            <w:r>
              <w:t>, и</w:t>
            </w:r>
            <w:r w:rsidR="002354FF">
              <w:t>н</w:t>
            </w:r>
            <w:r>
              <w:t>теллектуальная</w:t>
            </w:r>
            <w:r w:rsidR="002354FF">
              <w:t>, проектная, управленческая.</w:t>
            </w:r>
          </w:p>
        </w:tc>
      </w:tr>
      <w:tr w:rsidR="009168A9" w:rsidRPr="009168A9" w14:paraId="6A09516A" w14:textId="77777777" w:rsidTr="00531911">
        <w:tc>
          <w:tcPr>
            <w:tcW w:w="3126" w:type="dxa"/>
          </w:tcPr>
          <w:p w14:paraId="48142A91" w14:textId="21FD4B0F" w:rsidR="009B54DC" w:rsidRPr="009168A9" w:rsidRDefault="009B54DC" w:rsidP="009B54DC">
            <w:r w:rsidRPr="009168A9">
              <w:t>Формы работы</w:t>
            </w:r>
          </w:p>
        </w:tc>
        <w:tc>
          <w:tcPr>
            <w:tcW w:w="6213" w:type="dxa"/>
            <w:gridSpan w:val="3"/>
          </w:tcPr>
          <w:p w14:paraId="48B1DA1C" w14:textId="6D9BB3A8" w:rsidR="009B54DC" w:rsidRPr="009168A9" w:rsidRDefault="009B54DC" w:rsidP="009B54DC">
            <w:r w:rsidRPr="009168A9">
              <w:t>Индивидуальная, групповая школьная, групповая сетевая</w:t>
            </w:r>
          </w:p>
        </w:tc>
      </w:tr>
      <w:tr w:rsidR="009168A9" w:rsidRPr="009168A9" w14:paraId="377BEE2E" w14:textId="77777777" w:rsidTr="00531911">
        <w:tc>
          <w:tcPr>
            <w:tcW w:w="3126" w:type="dxa"/>
          </w:tcPr>
          <w:p w14:paraId="02854945" w14:textId="23F80885" w:rsidR="009B54DC" w:rsidRPr="009168A9" w:rsidRDefault="009B54DC" w:rsidP="009B54DC">
            <w:r w:rsidRPr="009168A9">
              <w:t>Уровень сложности</w:t>
            </w:r>
          </w:p>
        </w:tc>
        <w:tc>
          <w:tcPr>
            <w:tcW w:w="2240" w:type="dxa"/>
          </w:tcPr>
          <w:p w14:paraId="73B1DD74" w14:textId="7E7703A1" w:rsidR="009B54DC" w:rsidRPr="009168A9" w:rsidRDefault="009B54DC" w:rsidP="009B54DC">
            <w:r w:rsidRPr="009168A9">
              <w:t>Начинающий</w:t>
            </w:r>
          </w:p>
          <w:p w14:paraId="51667C15" w14:textId="286ADC52" w:rsidR="009B54DC" w:rsidRPr="009168A9" w:rsidRDefault="009B54DC" w:rsidP="009B54DC">
            <w:pPr>
              <w:rPr>
                <w:i/>
                <w:iCs/>
              </w:rPr>
            </w:pPr>
            <w:r w:rsidRPr="009168A9">
              <w:rPr>
                <w:i/>
                <w:iCs/>
              </w:rPr>
              <w:t>умения</w:t>
            </w:r>
          </w:p>
          <w:p w14:paraId="1D9D320C" w14:textId="434E9818" w:rsidR="009B54DC" w:rsidRPr="009168A9" w:rsidRDefault="009B54DC" w:rsidP="009B54DC">
            <w:r w:rsidRPr="009168A9">
              <w:rPr>
                <w:i/>
                <w:iCs/>
              </w:rPr>
              <w:t>знания</w:t>
            </w:r>
          </w:p>
        </w:tc>
        <w:tc>
          <w:tcPr>
            <w:tcW w:w="1416" w:type="dxa"/>
          </w:tcPr>
          <w:p w14:paraId="6E653DD0" w14:textId="75EFE29A" w:rsidR="009B54DC" w:rsidRPr="002354FF" w:rsidRDefault="009B54DC" w:rsidP="009B54DC">
            <w:r w:rsidRPr="002354FF">
              <w:t>Базовый</w:t>
            </w:r>
          </w:p>
          <w:p w14:paraId="6AEC6FCC" w14:textId="77777777" w:rsidR="009B54DC" w:rsidRPr="002354FF" w:rsidRDefault="009B54DC" w:rsidP="009B54DC">
            <w:pPr>
              <w:rPr>
                <w:i/>
                <w:iCs/>
              </w:rPr>
            </w:pPr>
            <w:r w:rsidRPr="002354FF">
              <w:rPr>
                <w:i/>
                <w:iCs/>
              </w:rPr>
              <w:t>умения</w:t>
            </w:r>
          </w:p>
          <w:p w14:paraId="485C1294" w14:textId="77777777" w:rsidR="009B54DC" w:rsidRPr="002354FF" w:rsidRDefault="009B54DC" w:rsidP="009B54DC">
            <w:pPr>
              <w:rPr>
                <w:i/>
                <w:iCs/>
              </w:rPr>
            </w:pPr>
            <w:r w:rsidRPr="002354FF">
              <w:rPr>
                <w:i/>
                <w:iCs/>
              </w:rPr>
              <w:t>знания</w:t>
            </w:r>
          </w:p>
          <w:p w14:paraId="3295B4A0" w14:textId="037E7455" w:rsidR="009B54DC" w:rsidRPr="002354FF" w:rsidRDefault="009B54DC" w:rsidP="009B54DC">
            <w:r w:rsidRPr="002354FF">
              <w:rPr>
                <w:i/>
                <w:iCs/>
              </w:rPr>
              <w:t>применение</w:t>
            </w:r>
          </w:p>
        </w:tc>
        <w:tc>
          <w:tcPr>
            <w:tcW w:w="2557" w:type="dxa"/>
          </w:tcPr>
          <w:p w14:paraId="04AD7EC5" w14:textId="77777777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u w:val="single"/>
              </w:rPr>
              <w:t xml:space="preserve">Продвинутый </w:t>
            </w:r>
          </w:p>
          <w:p w14:paraId="35BE6420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умения</w:t>
            </w:r>
          </w:p>
          <w:p w14:paraId="6413E741" w14:textId="77777777" w:rsidR="009B54DC" w:rsidRPr="009168A9" w:rsidRDefault="009B54DC" w:rsidP="009B54DC">
            <w:pPr>
              <w:rPr>
                <w:i/>
                <w:iCs/>
                <w:u w:val="single"/>
              </w:rPr>
            </w:pPr>
            <w:r w:rsidRPr="009168A9">
              <w:rPr>
                <w:i/>
                <w:iCs/>
                <w:u w:val="single"/>
              </w:rPr>
              <w:t>знания</w:t>
            </w:r>
          </w:p>
          <w:p w14:paraId="25B56B43" w14:textId="77777777" w:rsidR="009B54DC" w:rsidRPr="009168A9" w:rsidRDefault="009B54DC" w:rsidP="009B54DC">
            <w:r w:rsidRPr="009168A9">
              <w:rPr>
                <w:i/>
                <w:iCs/>
                <w:u w:val="single"/>
              </w:rPr>
              <w:t>применение</w:t>
            </w:r>
            <w:r w:rsidRPr="009168A9">
              <w:t xml:space="preserve"> </w:t>
            </w:r>
          </w:p>
          <w:p w14:paraId="79E9122B" w14:textId="77777777" w:rsidR="009B54DC" w:rsidRPr="002354FF" w:rsidRDefault="009B54DC" w:rsidP="009B54DC">
            <w:pPr>
              <w:rPr>
                <w:i/>
                <w:iCs/>
                <w:u w:val="single"/>
              </w:rPr>
            </w:pPr>
            <w:r w:rsidRPr="002354FF">
              <w:rPr>
                <w:i/>
                <w:iCs/>
                <w:u w:val="single"/>
              </w:rPr>
              <w:t>анализ</w:t>
            </w:r>
          </w:p>
          <w:p w14:paraId="3D5A88BC" w14:textId="77777777" w:rsidR="009B54DC" w:rsidRPr="002354FF" w:rsidRDefault="009B54DC" w:rsidP="009B54DC">
            <w:pPr>
              <w:rPr>
                <w:i/>
                <w:iCs/>
                <w:u w:val="single"/>
              </w:rPr>
            </w:pPr>
            <w:r w:rsidRPr="002354FF">
              <w:rPr>
                <w:i/>
                <w:iCs/>
                <w:u w:val="single"/>
              </w:rPr>
              <w:t>оценка</w:t>
            </w:r>
          </w:p>
          <w:p w14:paraId="4E5895E9" w14:textId="1A474427" w:rsidR="009B54DC" w:rsidRPr="009168A9" w:rsidRDefault="009B54DC" w:rsidP="009B54DC">
            <w:pPr>
              <w:rPr>
                <w:u w:val="single"/>
              </w:rPr>
            </w:pPr>
            <w:r w:rsidRPr="009168A9">
              <w:rPr>
                <w:i/>
                <w:iCs/>
                <w:u w:val="single"/>
              </w:rPr>
              <w:t>соединение новых идей, решений</w:t>
            </w:r>
          </w:p>
        </w:tc>
      </w:tr>
      <w:tr w:rsidR="009168A9" w:rsidRPr="009168A9" w14:paraId="691AEAF9" w14:textId="77777777" w:rsidTr="00531911">
        <w:tc>
          <w:tcPr>
            <w:tcW w:w="3126" w:type="dxa"/>
          </w:tcPr>
          <w:p w14:paraId="4A3F3F77" w14:textId="6F0802D2" w:rsidR="009B54DC" w:rsidRPr="009168A9" w:rsidRDefault="009B54DC" w:rsidP="009B54DC">
            <w:r w:rsidRPr="009168A9">
              <w:t>Минимальные требования к условиям в школе для участия в мероприятии:</w:t>
            </w:r>
          </w:p>
          <w:p w14:paraId="6D79A0D8" w14:textId="77777777" w:rsidR="009B54DC" w:rsidRPr="009168A9" w:rsidRDefault="009B54DC" w:rsidP="009B54DC">
            <w:r w:rsidRPr="009168A9">
              <w:t>-оборудование</w:t>
            </w:r>
          </w:p>
          <w:p w14:paraId="6AA932B4" w14:textId="77777777" w:rsidR="009B54DC" w:rsidRPr="009168A9" w:rsidRDefault="009B54DC" w:rsidP="009B54DC">
            <w:r w:rsidRPr="009168A9">
              <w:t>-цифровые ресурсы</w:t>
            </w:r>
          </w:p>
          <w:p w14:paraId="4541B7E5" w14:textId="77777777" w:rsidR="009B54DC" w:rsidRPr="009168A9" w:rsidRDefault="009B54DC" w:rsidP="009B54DC">
            <w:r w:rsidRPr="009168A9">
              <w:t>-расходные материалы</w:t>
            </w:r>
          </w:p>
          <w:p w14:paraId="286D1FB9" w14:textId="105FFF3C" w:rsidR="009B54DC" w:rsidRPr="009168A9" w:rsidRDefault="009B54DC" w:rsidP="009B54DC">
            <w:r w:rsidRPr="009168A9">
              <w:t>-помещение</w:t>
            </w:r>
          </w:p>
        </w:tc>
        <w:tc>
          <w:tcPr>
            <w:tcW w:w="6213" w:type="dxa"/>
            <w:gridSpan w:val="3"/>
          </w:tcPr>
          <w:p w14:paraId="7D66BAD8" w14:textId="7AF61A6A" w:rsidR="009B54DC" w:rsidRPr="009168A9" w:rsidRDefault="002354FF" w:rsidP="002354FF">
            <w:r>
              <w:t xml:space="preserve">ПК с бесперебойным выходом в Интернет и возможностью принимать участие в онлайн-конференции. </w:t>
            </w:r>
          </w:p>
        </w:tc>
      </w:tr>
      <w:tr w:rsidR="009168A9" w:rsidRPr="009168A9" w14:paraId="7D72B76F" w14:textId="77777777" w:rsidTr="00531911">
        <w:tc>
          <w:tcPr>
            <w:tcW w:w="3126" w:type="dxa"/>
          </w:tcPr>
          <w:p w14:paraId="4665A6DE" w14:textId="1C4AE473" w:rsidR="009B54DC" w:rsidRPr="009168A9" w:rsidRDefault="009B54DC" w:rsidP="009B54DC">
            <w:r w:rsidRPr="009168A9">
              <w:t>Содержание по этапам</w:t>
            </w:r>
          </w:p>
        </w:tc>
        <w:tc>
          <w:tcPr>
            <w:tcW w:w="6213" w:type="dxa"/>
            <w:gridSpan w:val="3"/>
          </w:tcPr>
          <w:p w14:paraId="3562231B" w14:textId="27C160AA" w:rsidR="009B54DC" w:rsidRDefault="002354FF" w:rsidP="00557236">
            <w:pPr>
              <w:jc w:val="both"/>
            </w:pPr>
            <w:r>
              <w:t>- до конца октября – регистрация на отборочный этап/тезисы работ;</w:t>
            </w:r>
          </w:p>
          <w:p w14:paraId="76B66212" w14:textId="77777777" w:rsidR="002354FF" w:rsidRDefault="002354FF" w:rsidP="00557236">
            <w:pPr>
              <w:jc w:val="both"/>
            </w:pPr>
            <w:r>
              <w:t>- не позднее, чем за 2 недели до проведения конференции, – объявление участников конференции;</w:t>
            </w:r>
          </w:p>
          <w:p w14:paraId="25EFFCA1" w14:textId="65A38695" w:rsidR="002354FF" w:rsidRDefault="002354FF" w:rsidP="002354FF">
            <w:pPr>
              <w:jc w:val="both"/>
            </w:pPr>
            <w:r>
              <w:t>- не позднее, чем за неделю до проведения конференции, – регистрация участников конференции;</w:t>
            </w:r>
          </w:p>
          <w:p w14:paraId="53A7B783" w14:textId="77777777" w:rsidR="002354FF" w:rsidRDefault="002354FF" w:rsidP="002354FF">
            <w:pPr>
              <w:jc w:val="both"/>
            </w:pPr>
            <w:r>
              <w:t>- до 27 ноября 2025 года – проведение конференции;</w:t>
            </w:r>
          </w:p>
          <w:p w14:paraId="44BF642C" w14:textId="112B4508" w:rsidR="002354FF" w:rsidRPr="009168A9" w:rsidRDefault="002354FF" w:rsidP="002354FF">
            <w:pPr>
              <w:jc w:val="both"/>
            </w:pPr>
            <w:r>
              <w:t>- до 1 декабря – подведение итогов.</w:t>
            </w:r>
          </w:p>
        </w:tc>
      </w:tr>
      <w:tr w:rsidR="009168A9" w:rsidRPr="009168A9" w14:paraId="7FE72534" w14:textId="77777777" w:rsidTr="00531911">
        <w:tc>
          <w:tcPr>
            <w:tcW w:w="3126" w:type="dxa"/>
          </w:tcPr>
          <w:p w14:paraId="27653542" w14:textId="387F4E2D" w:rsidR="009B54DC" w:rsidRPr="009168A9" w:rsidRDefault="009B54DC" w:rsidP="009B54DC">
            <w:r w:rsidRPr="009168A9">
              <w:t xml:space="preserve">Продукт </w:t>
            </w:r>
          </w:p>
        </w:tc>
        <w:tc>
          <w:tcPr>
            <w:tcW w:w="6213" w:type="dxa"/>
            <w:gridSpan w:val="3"/>
          </w:tcPr>
          <w:p w14:paraId="70B8E2F1" w14:textId="2037CF25" w:rsidR="009B54DC" w:rsidRPr="009168A9" w:rsidRDefault="002354FF" w:rsidP="009B54DC">
            <w:r>
              <w:t>Проектная работа (индивидуальная или групповая), презентация проектной работы</w:t>
            </w:r>
          </w:p>
        </w:tc>
      </w:tr>
      <w:tr w:rsidR="009168A9" w:rsidRPr="009168A9" w14:paraId="6D0E7352" w14:textId="77777777" w:rsidTr="00531911">
        <w:tc>
          <w:tcPr>
            <w:tcW w:w="3126" w:type="dxa"/>
          </w:tcPr>
          <w:p w14:paraId="38FE3BA2" w14:textId="5CFBFC99" w:rsidR="009B54DC" w:rsidRPr="009168A9" w:rsidRDefault="009B54DC" w:rsidP="009B54DC">
            <w:r w:rsidRPr="009168A9">
              <w:t>Форма оценивания</w:t>
            </w:r>
          </w:p>
        </w:tc>
        <w:tc>
          <w:tcPr>
            <w:tcW w:w="6213" w:type="dxa"/>
            <w:gridSpan w:val="3"/>
          </w:tcPr>
          <w:p w14:paraId="0C427851" w14:textId="3C33821B" w:rsidR="009B54DC" w:rsidRPr="009168A9" w:rsidRDefault="009B54DC" w:rsidP="00C95C0B">
            <w:r w:rsidRPr="009168A9">
              <w:t xml:space="preserve">Победителями и призерами становятся не более </w:t>
            </w:r>
            <w:r w:rsidR="00C95C0B">
              <w:t xml:space="preserve">10% от числа участников конференции по решению жюри. Решение жюри не </w:t>
            </w:r>
            <w:proofErr w:type="spellStart"/>
            <w:r w:rsidR="00C95C0B">
              <w:t>апеллируется</w:t>
            </w:r>
            <w:proofErr w:type="spellEnd"/>
            <w:r w:rsidR="00C95C0B">
              <w:t>.</w:t>
            </w:r>
          </w:p>
        </w:tc>
      </w:tr>
      <w:tr w:rsidR="009168A9" w:rsidRPr="009168A9" w14:paraId="511CE970" w14:textId="77777777" w:rsidTr="00531911">
        <w:tc>
          <w:tcPr>
            <w:tcW w:w="3126" w:type="dxa"/>
          </w:tcPr>
          <w:p w14:paraId="48B5520F" w14:textId="77777777" w:rsidR="009B54DC" w:rsidRPr="009168A9" w:rsidRDefault="009B54DC" w:rsidP="009B54DC">
            <w:r w:rsidRPr="009168A9">
              <w:t>Кто контактное лицо по проведению мероприятия и как с ним связаться?</w:t>
            </w:r>
          </w:p>
        </w:tc>
        <w:tc>
          <w:tcPr>
            <w:tcW w:w="6213" w:type="dxa"/>
            <w:gridSpan w:val="3"/>
          </w:tcPr>
          <w:p w14:paraId="6F19F019" w14:textId="0E1BD71E" w:rsidR="009B54DC" w:rsidRPr="009168A9" w:rsidRDefault="009B54DC" w:rsidP="009B54DC">
            <w:r w:rsidRPr="009168A9">
              <w:t xml:space="preserve">Смирнов Андрей Александрович, +7(920)044-70-03, </w:t>
            </w:r>
            <w:proofErr w:type="spellStart"/>
            <w:r w:rsidRPr="009168A9">
              <w:rPr>
                <w:lang w:val="en-US"/>
              </w:rPr>
              <w:t>smirnov</w:t>
            </w:r>
            <w:proofErr w:type="spellEnd"/>
            <w:r w:rsidRPr="009168A9">
              <w:t>-</w:t>
            </w:r>
            <w:r w:rsidRPr="009168A9">
              <w:rPr>
                <w:lang w:val="en-US"/>
              </w:rPr>
              <w:t>aa</w:t>
            </w:r>
            <w:r w:rsidRPr="009168A9">
              <w:t>@</w:t>
            </w:r>
            <w:r w:rsidRPr="009168A9">
              <w:rPr>
                <w:lang w:val="en-US"/>
              </w:rPr>
              <w:t>list</w:t>
            </w:r>
            <w:r w:rsidRPr="009168A9">
              <w:t>.</w:t>
            </w:r>
            <w:proofErr w:type="spellStart"/>
            <w:r w:rsidRPr="009168A9">
              <w:rPr>
                <w:lang w:val="en-US"/>
              </w:rPr>
              <w:t>ru</w:t>
            </w:r>
            <w:proofErr w:type="spellEnd"/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4920"/>
    <w:multiLevelType w:val="hybridMultilevel"/>
    <w:tmpl w:val="0E4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55C8"/>
    <w:multiLevelType w:val="hybridMultilevel"/>
    <w:tmpl w:val="230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2A9B"/>
    <w:multiLevelType w:val="hybridMultilevel"/>
    <w:tmpl w:val="4AF06BF8"/>
    <w:lvl w:ilvl="0" w:tplc="45AA20E2">
      <w:start w:val="1"/>
      <w:numFmt w:val="bullet"/>
      <w:lvlText w:val="−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A54118D"/>
    <w:multiLevelType w:val="hybridMultilevel"/>
    <w:tmpl w:val="E39C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102A20"/>
    <w:rsid w:val="001431E6"/>
    <w:rsid w:val="001705DC"/>
    <w:rsid w:val="00173594"/>
    <w:rsid w:val="0019570A"/>
    <w:rsid w:val="001A13B0"/>
    <w:rsid w:val="00214F66"/>
    <w:rsid w:val="002354FF"/>
    <w:rsid w:val="002432C2"/>
    <w:rsid w:val="00283979"/>
    <w:rsid w:val="003C300B"/>
    <w:rsid w:val="00487247"/>
    <w:rsid w:val="00494366"/>
    <w:rsid w:val="00496A20"/>
    <w:rsid w:val="004B4381"/>
    <w:rsid w:val="005174E6"/>
    <w:rsid w:val="00531911"/>
    <w:rsid w:val="00557236"/>
    <w:rsid w:val="005C000A"/>
    <w:rsid w:val="005C3590"/>
    <w:rsid w:val="005F32D5"/>
    <w:rsid w:val="00606CC0"/>
    <w:rsid w:val="00655C98"/>
    <w:rsid w:val="0069326F"/>
    <w:rsid w:val="006F36FD"/>
    <w:rsid w:val="007358E3"/>
    <w:rsid w:val="007877BB"/>
    <w:rsid w:val="00792CCA"/>
    <w:rsid w:val="007B6CBA"/>
    <w:rsid w:val="007D5A5D"/>
    <w:rsid w:val="00866F09"/>
    <w:rsid w:val="008952C5"/>
    <w:rsid w:val="008B6D01"/>
    <w:rsid w:val="008C3E31"/>
    <w:rsid w:val="008E0B93"/>
    <w:rsid w:val="00915178"/>
    <w:rsid w:val="009168A9"/>
    <w:rsid w:val="00941FC4"/>
    <w:rsid w:val="00973042"/>
    <w:rsid w:val="009B54DC"/>
    <w:rsid w:val="00BD068E"/>
    <w:rsid w:val="00C5711A"/>
    <w:rsid w:val="00C61F7E"/>
    <w:rsid w:val="00C6424B"/>
    <w:rsid w:val="00C95C0B"/>
    <w:rsid w:val="00CB26DC"/>
    <w:rsid w:val="00CC370A"/>
    <w:rsid w:val="00CF0AF2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C36B7"/>
    <w:rsid w:val="00FD07EC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3</cp:revision>
  <dcterms:created xsi:type="dcterms:W3CDTF">2025-02-13T10:19:00Z</dcterms:created>
  <dcterms:modified xsi:type="dcterms:W3CDTF">2025-02-13T10:19:00Z</dcterms:modified>
</cp:coreProperties>
</file>